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AF6BA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F6BA1" w:rsidRPr="00AF6BA1">
              <w:rPr>
                <w:rFonts w:asciiTheme="majorHAnsi" w:hAnsiTheme="majorHAnsi" w:cs="Arial"/>
                <w:b/>
                <w:sz w:val="18"/>
                <w:szCs w:val="18"/>
              </w:rPr>
              <w:t>Analysis of Selected Materials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0E2E">
              <w:rPr>
                <w:rFonts w:asciiTheme="majorHAnsi" w:hAnsiTheme="majorHAnsi" w:cs="Arial"/>
                <w:b/>
                <w:sz w:val="18"/>
                <w:szCs w:val="18"/>
              </w:rPr>
              <w:t>AOSM</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AF6BA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F6BA1">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F6BA1">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1C0020">
                    <w:rPr>
                      <w:rFonts w:asciiTheme="majorHAnsi" w:hAnsiTheme="majorHAnsi" w:cs="Arial"/>
                      <w:b/>
                      <w:sz w:val="18"/>
                      <w:szCs w:val="18"/>
                    </w:rPr>
                  </w:r>
                  <w:r w:rsidR="001C0020">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F6BA1">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F6BA1">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F6BA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F6BA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F6BA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F6BA1">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AF6BA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F6BA1">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F6BA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F6BA1">
              <w:rPr>
                <w:rFonts w:asciiTheme="majorHAnsi" w:hAnsiTheme="majorHAnsi" w:cs="Arial"/>
                <w:b/>
                <w:sz w:val="18"/>
                <w:szCs w:val="18"/>
              </w:rPr>
              <w:t>84,93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F6BA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AF6BA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F6BA1">
              <w:rPr>
                <w:rFonts w:asciiTheme="majorHAnsi" w:hAnsiTheme="majorHAnsi" w:cs="Arial"/>
                <w:b/>
                <w:sz w:val="18"/>
                <w:szCs w:val="18"/>
              </w:rPr>
              <w:t>118,68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AF6BA1">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F6BA1" w:rsidRPr="00AF6BA1">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7C201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F6BA1" w:rsidRPr="00AF6BA1">
              <w:rPr>
                <w:rFonts w:asciiTheme="majorHAnsi" w:hAnsiTheme="majorHAnsi" w:cs="Arial"/>
                <w:b/>
                <w:sz w:val="18"/>
                <w:szCs w:val="18"/>
              </w:rPr>
              <w:t>Chemistry / Chemistry /</w:t>
            </w:r>
            <w:r w:rsidR="007C2017" w:rsidRPr="007C2017">
              <w:rPr>
                <w:rFonts w:asciiTheme="majorHAnsi" w:hAnsiTheme="majorHAnsi" w:cs="Arial"/>
                <w:b/>
                <w:sz w:val="18"/>
                <w:szCs w:val="18"/>
              </w:rPr>
              <w:t>Specialization</w:t>
            </w:r>
            <w:r w:rsidR="00AF6BA1" w:rsidRPr="00AF6BA1">
              <w:rPr>
                <w:rFonts w:asciiTheme="majorHAnsi" w:hAnsiTheme="majorHAnsi" w:cs="Arial"/>
                <w:b/>
                <w:sz w:val="18"/>
                <w:szCs w:val="18"/>
              </w:rPr>
              <w:t xml:space="preserve"> Applied Chemistry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4444C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444CE" w:rsidRPr="004444CE">
              <w:rPr>
                <w:rFonts w:asciiTheme="majorHAnsi" w:hAnsiTheme="majorHAnsi" w:cs="Arial"/>
                <w:b/>
                <w:sz w:val="18"/>
                <w:szCs w:val="18"/>
              </w:rPr>
              <w:t>Mersiha Suljkanović,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B1464" w:rsidRPr="00CB1464">
              <w:rPr>
                <w:rFonts w:asciiTheme="majorHAnsi" w:hAnsiTheme="majorHAnsi" w:cs="Arial"/>
                <w:b/>
                <w:sz w:val="18"/>
                <w:szCs w:val="18"/>
              </w:rPr>
              <w:t xml:space="preserve">To familiarize students with the theoretical foundations of analytical methods and procedures applied in the analysis of various types of materials, including construction materials (binding materials, wood, glass, metals), textile materials, </w:t>
            </w:r>
            <w:r w:rsidR="00CB1464" w:rsidRPr="00CB1464">
              <w:rPr>
                <w:rFonts w:asciiTheme="majorHAnsi" w:hAnsiTheme="majorHAnsi" w:cs="Arial"/>
                <w:b/>
                <w:sz w:val="18"/>
                <w:szCs w:val="18"/>
              </w:rPr>
              <w:lastRenderedPageBreak/>
              <w:t>packaging materials, polymers, hygiene products, etc. An additional objective is to acquaint students with the BAS legislative framework relevant to these analytical methods.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B1464" w:rsidRPr="00CB1464">
              <w:rPr>
                <w:rFonts w:asciiTheme="majorHAnsi" w:hAnsiTheme="majorHAnsi" w:cs="Arial"/>
                <w:b/>
                <w:sz w:val="18"/>
                <w:szCs w:val="18"/>
              </w:rPr>
              <w:t>Upon successful completion of the course, students will be able to advance their knowledge of analytical methods and procedures for the analysis of various types of materials and apply this knowledge in independent scientific research work.</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1464" w:rsidRPr="00CB1464" w:rsidRDefault="00607A6E" w:rsidP="00CB14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B1464" w:rsidRPr="00CB1464">
              <w:rPr>
                <w:rFonts w:asciiTheme="majorHAnsi" w:hAnsiTheme="majorHAnsi" w:cs="Arial"/>
                <w:b/>
                <w:sz w:val="18"/>
                <w:szCs w:val="18"/>
              </w:rPr>
              <w:t>Basic theoretical principles of sampling and analytical methods for selected materials: construction materials, packaging materials, hygiene products, polymeric materials, and textile materials.</w:t>
            </w:r>
          </w:p>
          <w:p w:rsidR="00CB72ED" w:rsidRPr="00B96B4F"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Legal regulations in the field of material analysis.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1464" w:rsidRPr="00CB1464" w:rsidRDefault="00607A6E" w:rsidP="00CB14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B1464" w:rsidRPr="00CB1464">
              <w:rPr>
                <w:rFonts w:asciiTheme="majorHAnsi" w:hAnsiTheme="majorHAnsi" w:cs="Arial"/>
                <w:b/>
                <w:sz w:val="18"/>
                <w:szCs w:val="18"/>
              </w:rPr>
              <w:t>In order to ensure effective teaching delivery and the achievement of the expected learning outcomes and student competencies by the end of the semester, various teaching methods are employed:</w:t>
            </w:r>
          </w:p>
          <w:p w:rsidR="00CB1464" w:rsidRPr="00CB1464" w:rsidRDefault="00CB1464" w:rsidP="00CB1464">
            <w:pPr>
              <w:pStyle w:val="NoSpacing"/>
              <w:rPr>
                <w:rFonts w:asciiTheme="majorHAnsi" w:hAnsiTheme="majorHAnsi" w:cs="Arial"/>
                <w:b/>
                <w:sz w:val="18"/>
                <w:szCs w:val="18"/>
              </w:rPr>
            </w:pPr>
            <w:r>
              <w:rPr>
                <w:rFonts w:asciiTheme="majorHAnsi" w:hAnsiTheme="majorHAnsi" w:cs="Arial"/>
                <w:b/>
                <w:sz w:val="18"/>
                <w:szCs w:val="18"/>
              </w:rPr>
              <w:t xml:space="preserve">- </w:t>
            </w:r>
            <w:r w:rsidRPr="00CB1464">
              <w:rPr>
                <w:rFonts w:asciiTheme="majorHAnsi" w:hAnsiTheme="majorHAnsi" w:cs="Arial"/>
                <w:b/>
                <w:sz w:val="18"/>
                <w:szCs w:val="18"/>
              </w:rPr>
              <w:t xml:space="preserve">lectures (L), </w:t>
            </w:r>
          </w:p>
          <w:p w:rsidR="00CB1464" w:rsidRPr="00CB1464" w:rsidRDefault="00CB1464" w:rsidP="00CB1464">
            <w:pPr>
              <w:pStyle w:val="NoSpacing"/>
              <w:rPr>
                <w:rFonts w:asciiTheme="majorHAnsi" w:hAnsiTheme="majorHAnsi" w:cs="Arial"/>
                <w:b/>
                <w:sz w:val="18"/>
                <w:szCs w:val="18"/>
              </w:rPr>
            </w:pPr>
            <w:r>
              <w:rPr>
                <w:rFonts w:asciiTheme="majorHAnsi" w:hAnsiTheme="majorHAnsi" w:cs="Arial"/>
                <w:b/>
                <w:sz w:val="18"/>
                <w:szCs w:val="18"/>
              </w:rPr>
              <w:t xml:space="preserve">- </w:t>
            </w:r>
            <w:r w:rsidRPr="00CB1464">
              <w:rPr>
                <w:rFonts w:asciiTheme="majorHAnsi" w:hAnsiTheme="majorHAnsi" w:cs="Arial"/>
                <w:b/>
                <w:sz w:val="18"/>
                <w:szCs w:val="18"/>
              </w:rPr>
              <w:t xml:space="preserve">team/group projects (seminar papers) (GP), and </w:t>
            </w:r>
          </w:p>
          <w:p w:rsidR="00CB72ED" w:rsidRPr="00B96B4F" w:rsidRDefault="00CB1464" w:rsidP="00CB1464">
            <w:pPr>
              <w:pStyle w:val="NoSpacing"/>
              <w:rPr>
                <w:rFonts w:asciiTheme="majorHAnsi" w:hAnsiTheme="majorHAnsi" w:cs="Arial"/>
                <w:b/>
                <w:sz w:val="18"/>
                <w:szCs w:val="18"/>
              </w:rPr>
            </w:pPr>
            <w:r>
              <w:rPr>
                <w:rFonts w:asciiTheme="majorHAnsi" w:hAnsiTheme="majorHAnsi" w:cs="Arial"/>
                <w:b/>
                <w:sz w:val="18"/>
                <w:szCs w:val="18"/>
              </w:rPr>
              <w:t xml:space="preserve">- </w:t>
            </w:r>
            <w:r w:rsidRPr="00CB1464">
              <w:rPr>
                <w:rFonts w:asciiTheme="majorHAnsi" w:hAnsiTheme="majorHAnsi" w:cs="Arial"/>
                <w:b/>
                <w:sz w:val="18"/>
                <w:szCs w:val="18"/>
              </w:rPr>
              <w:t>short tests covering the essential concepts of the completed course material.</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1464" w:rsidRPr="00CB1464" w:rsidRDefault="00607A6E" w:rsidP="00CB14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B1464" w:rsidRPr="00CB1464">
              <w:rPr>
                <w:rFonts w:asciiTheme="majorHAnsi" w:hAnsiTheme="majorHAnsi" w:cs="Arial"/>
                <w:b/>
                <w:sz w:val="18"/>
                <w:szCs w:val="18"/>
              </w:rPr>
              <w:t>Student assessment is conducted using the following methods: tests – midterm examinations, seminar paper, and final examination.</w:t>
            </w:r>
          </w:p>
          <w:p w:rsidR="00CB1464" w:rsidRPr="00CB1464" w:rsidRDefault="00CB1464" w:rsidP="00CB1464">
            <w:pPr>
              <w:pStyle w:val="NoSpacing"/>
              <w:rPr>
                <w:rFonts w:asciiTheme="majorHAnsi" w:hAnsiTheme="majorHAnsi" w:cs="Arial"/>
                <w:b/>
                <w:sz w:val="18"/>
                <w:szCs w:val="18"/>
              </w:rPr>
            </w:pPr>
            <w:r>
              <w:rPr>
                <w:rFonts w:asciiTheme="majorHAnsi" w:hAnsiTheme="majorHAnsi" w:cs="Arial"/>
                <w:b/>
                <w:sz w:val="18"/>
                <w:szCs w:val="18"/>
              </w:rPr>
              <w:t xml:space="preserve">- </w:t>
            </w:r>
            <w:r w:rsidRPr="00CB1464">
              <w:rPr>
                <w:rFonts w:asciiTheme="majorHAnsi" w:hAnsiTheme="majorHAnsi" w:cs="Arial"/>
                <w:b/>
                <w:sz w:val="18"/>
                <w:szCs w:val="18"/>
              </w:rPr>
              <w:t xml:space="preserve">Student participation and activity during lectures: maximum 5 points </w:t>
            </w:r>
          </w:p>
          <w:p w:rsidR="00CB1464" w:rsidRPr="00CB1464" w:rsidRDefault="00CB1464" w:rsidP="00CB1464">
            <w:pPr>
              <w:pStyle w:val="NoSpacing"/>
              <w:rPr>
                <w:rFonts w:asciiTheme="majorHAnsi" w:hAnsiTheme="majorHAnsi" w:cs="Arial"/>
                <w:b/>
                <w:sz w:val="18"/>
                <w:szCs w:val="18"/>
              </w:rPr>
            </w:pPr>
            <w:r>
              <w:rPr>
                <w:rFonts w:asciiTheme="majorHAnsi" w:hAnsiTheme="majorHAnsi" w:cs="Arial"/>
                <w:b/>
                <w:sz w:val="18"/>
                <w:szCs w:val="18"/>
              </w:rPr>
              <w:t xml:space="preserve">- </w:t>
            </w:r>
            <w:r w:rsidRPr="00CB1464">
              <w:rPr>
                <w:rFonts w:asciiTheme="majorHAnsi" w:hAnsiTheme="majorHAnsi" w:cs="Arial"/>
                <w:b/>
                <w:sz w:val="18"/>
                <w:szCs w:val="18"/>
              </w:rPr>
              <w:t xml:space="preserve">Two tests (first and second midterm examinations): maximum 2 × 15 points </w:t>
            </w:r>
          </w:p>
          <w:p w:rsidR="00CB1464" w:rsidRPr="00CB1464" w:rsidRDefault="00CB1464" w:rsidP="00CB1464">
            <w:pPr>
              <w:pStyle w:val="NoSpacing"/>
              <w:rPr>
                <w:rFonts w:asciiTheme="majorHAnsi" w:hAnsiTheme="majorHAnsi" w:cs="Arial"/>
                <w:b/>
                <w:sz w:val="18"/>
                <w:szCs w:val="18"/>
              </w:rPr>
            </w:pPr>
            <w:r>
              <w:rPr>
                <w:rFonts w:asciiTheme="majorHAnsi" w:hAnsiTheme="majorHAnsi" w:cs="Arial"/>
                <w:b/>
                <w:sz w:val="18"/>
                <w:szCs w:val="18"/>
              </w:rPr>
              <w:t xml:space="preserve">- </w:t>
            </w:r>
            <w:r w:rsidRPr="00CB1464">
              <w:rPr>
                <w:rFonts w:asciiTheme="majorHAnsi" w:hAnsiTheme="majorHAnsi" w:cs="Arial"/>
                <w:b/>
                <w:sz w:val="18"/>
                <w:szCs w:val="18"/>
              </w:rPr>
              <w:t xml:space="preserve">Seminar paper related to the course subject area: 15 points </w:t>
            </w:r>
          </w:p>
          <w:p w:rsidR="00CB1464" w:rsidRPr="00CB1464" w:rsidRDefault="00CB1464" w:rsidP="00CB1464">
            <w:pPr>
              <w:pStyle w:val="NoSpacing"/>
              <w:rPr>
                <w:rFonts w:asciiTheme="majorHAnsi" w:hAnsiTheme="majorHAnsi" w:cs="Arial"/>
                <w:b/>
                <w:sz w:val="18"/>
                <w:szCs w:val="18"/>
              </w:rPr>
            </w:pPr>
            <w:r>
              <w:rPr>
                <w:rFonts w:asciiTheme="majorHAnsi" w:hAnsiTheme="majorHAnsi" w:cs="Arial"/>
                <w:b/>
                <w:sz w:val="18"/>
                <w:szCs w:val="18"/>
              </w:rPr>
              <w:t xml:space="preserve">- </w:t>
            </w:r>
            <w:r w:rsidRPr="00CB1464">
              <w:rPr>
                <w:rFonts w:asciiTheme="majorHAnsi" w:hAnsiTheme="majorHAnsi" w:cs="Arial"/>
                <w:b/>
                <w:sz w:val="18"/>
                <w:szCs w:val="18"/>
              </w:rPr>
              <w:t xml:space="preserve">Final examination: maximum 50 points </w:t>
            </w:r>
          </w:p>
          <w:p w:rsidR="00CB72ED" w:rsidRPr="00B96B4F"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To successfully pass the course, students must obtain a minimum of 55 cumulative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1464" w:rsidRPr="00CB1464" w:rsidRDefault="00607A6E" w:rsidP="00CB14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B1464" w:rsidRPr="00CB1464">
              <w:rPr>
                <w:rFonts w:asciiTheme="majorHAnsi" w:hAnsiTheme="majorHAnsi" w:cs="Arial"/>
                <w:b/>
                <w:sz w:val="18"/>
                <w:szCs w:val="18"/>
              </w:rPr>
              <w:t>Pre-exam obligations: Tests: 30%; Seminar paper: 15%; Student activity: 5%</w:t>
            </w:r>
          </w:p>
          <w:p w:rsidR="00CB1464" w:rsidRPr="00CB1464"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Final exam: 50%.</w:t>
            </w:r>
          </w:p>
          <w:p w:rsidR="00CB1464" w:rsidRPr="00CB1464"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To pass the course, a student must achieve a minimum of 55 cumulative points.</w:t>
            </w:r>
          </w:p>
          <w:p w:rsidR="00CB1464" w:rsidRPr="00CB1464"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Grading system:</w:t>
            </w:r>
          </w:p>
          <w:p w:rsidR="00CB1464" w:rsidRPr="00CB1464"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 xml:space="preserve">Grade six (6): 55–64 points </w:t>
            </w:r>
          </w:p>
          <w:p w:rsidR="00CB1464" w:rsidRPr="00CB1464"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 xml:space="preserve">Grade seven (7): 65–74 points </w:t>
            </w:r>
          </w:p>
          <w:p w:rsidR="00CB1464" w:rsidRPr="00CB1464"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 xml:space="preserve">Grade eight (8): 75–84 points </w:t>
            </w:r>
          </w:p>
          <w:p w:rsidR="00CB1464" w:rsidRPr="00CB1464"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 xml:space="preserve">Grade nine (9): 85–94 points </w:t>
            </w:r>
          </w:p>
          <w:p w:rsidR="00CB72ED" w:rsidRPr="00B96B4F"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1464" w:rsidRPr="00CB1464" w:rsidRDefault="00607A6E" w:rsidP="00CB14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B1464" w:rsidRPr="00CB1464">
              <w:rPr>
                <w:rFonts w:asciiTheme="majorHAnsi" w:hAnsiTheme="majorHAnsi" w:cs="Arial"/>
                <w:b/>
                <w:sz w:val="18"/>
                <w:szCs w:val="18"/>
              </w:rPr>
              <w:t xml:space="preserve">Jovanović, S. Jeremić, K. (2007) Karakterisanje polimera. Tehnološko-metalurški fakultet. Beograd.  </w:t>
            </w:r>
          </w:p>
          <w:p w:rsidR="00CB72ED" w:rsidRPr="00B96B4F" w:rsidRDefault="00CB1464" w:rsidP="00CB1464">
            <w:pPr>
              <w:pStyle w:val="NoSpacing"/>
              <w:rPr>
                <w:rFonts w:asciiTheme="majorHAnsi" w:hAnsiTheme="majorHAnsi" w:cs="Arial"/>
                <w:b/>
                <w:sz w:val="18"/>
                <w:szCs w:val="18"/>
              </w:rPr>
            </w:pPr>
            <w:r w:rsidRPr="00CB1464">
              <w:rPr>
                <w:rFonts w:asciiTheme="majorHAnsi" w:hAnsiTheme="majorHAnsi" w:cs="Arial"/>
                <w:b/>
                <w:sz w:val="18"/>
                <w:szCs w:val="18"/>
              </w:rPr>
              <w:t xml:space="preserve">Kaštelan-Macan, M. (2003) Kemijska analiza u sustavu kvalitete. Školska Knjiga. Zagreb.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rsidP="00CB14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B1464" w:rsidRPr="00CB1464">
              <w:rPr>
                <w:rFonts w:asciiTheme="majorHAnsi" w:hAnsiTheme="majorHAnsi" w:cs="Arial"/>
                <w:b/>
                <w:sz w:val="18"/>
                <w:szCs w:val="18"/>
              </w:rPr>
              <w:t>Ahuja. S., Jespersen. N.,(2006) Comprehensive Analytical Chemistry: Modern Instrumental Analysis. Willson &amp; Willson's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4444C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B1464">
              <w:rPr>
                <w:rFonts w:asciiTheme="majorHAnsi" w:hAnsiTheme="majorHAnsi" w:cs="Arial"/>
                <w:b/>
                <w:sz w:val="18"/>
                <w:szCs w:val="18"/>
              </w:rPr>
              <w:t>202</w:t>
            </w:r>
            <w:r w:rsidR="004444CE">
              <w:rPr>
                <w:rFonts w:asciiTheme="majorHAnsi" w:hAnsiTheme="majorHAnsi" w:cs="Arial"/>
                <w:b/>
                <w:sz w:val="18"/>
                <w:szCs w:val="18"/>
              </w:rPr>
              <w:t>4</w:t>
            </w:r>
            <w:r w:rsidR="00CB1464">
              <w:rPr>
                <w:rFonts w:asciiTheme="majorHAnsi" w:hAnsiTheme="majorHAnsi" w:cs="Arial"/>
                <w:b/>
                <w:sz w:val="18"/>
                <w:szCs w:val="18"/>
              </w:rPr>
              <w:t>/2</w:t>
            </w:r>
            <w:r w:rsidR="004444CE">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07A6E">
            <w:pPr>
              <w:pStyle w:val="NoSpacing"/>
              <w:jc w:val="center"/>
              <w:rPr>
                <w:rFonts w:asciiTheme="majorHAnsi" w:hAnsiTheme="majorHAnsi" w:cs="Arial"/>
                <w:b/>
                <w:sz w:val="18"/>
                <w:szCs w:val="18"/>
              </w:rPr>
            </w:pPr>
            <w:r w:rsidRPr="004444CE">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444CE">
              <w:rPr>
                <w:rFonts w:asciiTheme="majorHAnsi" w:hAnsiTheme="majorHAnsi" w:cs="Arial"/>
                <w:b/>
                <w:sz w:val="18"/>
                <w:szCs w:val="18"/>
              </w:rPr>
            </w:r>
            <w:r w:rsidRPr="004444CE">
              <w:rPr>
                <w:rFonts w:asciiTheme="majorHAnsi" w:hAnsiTheme="majorHAnsi" w:cs="Arial"/>
                <w:b/>
                <w:sz w:val="18"/>
                <w:szCs w:val="18"/>
              </w:rPr>
              <w:fldChar w:fldCharType="separate"/>
            </w:r>
            <w:r w:rsidR="00FB48B6" w:rsidRPr="001D0E2E">
              <w:rPr>
                <w:rFonts w:asciiTheme="majorHAnsi" w:hAnsiTheme="majorHAnsi" w:cs="Arial"/>
                <w:b/>
                <w:spacing w:val="216"/>
                <w:sz w:val="18"/>
                <w:szCs w:val="18"/>
              </w:rPr>
              <w:t>    </w:t>
            </w:r>
            <w:r w:rsidR="00FB48B6" w:rsidRPr="001D0E2E">
              <w:rPr>
                <w:rFonts w:asciiTheme="majorHAnsi" w:hAnsiTheme="majorHAnsi" w:cs="Arial"/>
                <w:b/>
                <w:spacing w:val="-1"/>
                <w:sz w:val="18"/>
                <w:szCs w:val="18"/>
              </w:rPr>
              <w:t> </w:t>
            </w:r>
            <w:r w:rsidRPr="001D0E2E">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020" w:rsidRDefault="001C0020">
      <w:pPr>
        <w:spacing w:line="240" w:lineRule="auto"/>
      </w:pPr>
      <w:r>
        <w:separator/>
      </w:r>
    </w:p>
  </w:endnote>
  <w:endnote w:type="continuationSeparator" w:id="0">
    <w:p w:rsidR="001C0020" w:rsidRDefault="001C00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D0E2E">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1D0E2E">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1D0E2E">
            <w:rPr>
              <w:rFonts w:ascii="Cambria" w:hAnsi="Cambria" w:cs="Calibri"/>
              <w:noProof/>
              <w:sz w:val="16"/>
              <w:szCs w:val="16"/>
            </w:rPr>
            <w:t>2</w:t>
          </w:r>
          <w:r w:rsidR="00607A6E">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020" w:rsidRDefault="001C0020">
      <w:pPr>
        <w:spacing w:after="0"/>
      </w:pPr>
      <w:r>
        <w:separator/>
      </w:r>
    </w:p>
  </w:footnote>
  <w:footnote w:type="continuationSeparator" w:id="0">
    <w:p w:rsidR="001C0020" w:rsidRDefault="001C00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0020"/>
    <w:rsid w:val="001C5DAC"/>
    <w:rsid w:val="001D0E2E"/>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44CE"/>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2017"/>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AF6BA1"/>
    <w:rsid w:val="00B055AB"/>
    <w:rsid w:val="00B22657"/>
    <w:rsid w:val="00B26874"/>
    <w:rsid w:val="00B3048C"/>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464"/>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554C"/>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E0488D-6F7A-439B-A636-3C7FDB84B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B45B0-D73C-44FE-87CD-0EB707BA7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23</cp:revision>
  <cp:lastPrinted>2024-03-25T13:56:00Z</cp:lastPrinted>
  <dcterms:created xsi:type="dcterms:W3CDTF">2024-03-25T12:55:00Z</dcterms:created>
  <dcterms:modified xsi:type="dcterms:W3CDTF">2026-04-27T11:23:00Z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